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F480" w14:textId="0A971E5D" w:rsidR="00853B50" w:rsidRDefault="005C0FF4" w:rsidP="00A51EF6">
      <w:r>
        <w:rPr>
          <w:b/>
        </w:rPr>
        <w:t>Present:</w:t>
      </w:r>
      <w:r w:rsidR="00B42649">
        <w:t xml:space="preserve"> </w:t>
      </w:r>
      <w:r w:rsidR="00A51EF6">
        <w:rPr>
          <w:color w:val="000000" w:themeColor="text1"/>
        </w:rPr>
        <w:t xml:space="preserve">Claudia Allene, </w:t>
      </w:r>
      <w:r w:rsidR="00B231D0">
        <w:t xml:space="preserve">Steve Allex, </w:t>
      </w:r>
      <w:r w:rsidR="00782C95">
        <w:t>Uldis Birznieks</w:t>
      </w:r>
      <w:r w:rsidR="00D721F8">
        <w:t>,</w:t>
      </w:r>
      <w:r w:rsidR="00782C95">
        <w:t xml:space="preserve"> </w:t>
      </w:r>
      <w:r w:rsidR="00A51EF6">
        <w:t xml:space="preserve">Jay Chaney, </w:t>
      </w:r>
      <w:r w:rsidR="00304093">
        <w:t>Jane Edwards,</w:t>
      </w:r>
      <w:r w:rsidR="00304093" w:rsidRPr="00B231D0">
        <w:t xml:space="preserve"> </w:t>
      </w:r>
      <w:r w:rsidR="00F83200">
        <w:t xml:space="preserve">Robert Eliason, </w:t>
      </w:r>
      <w:r w:rsidR="00782C95">
        <w:t xml:space="preserve">Steve Frawley, </w:t>
      </w:r>
      <w:r w:rsidR="00F83200">
        <w:t>Sue Friedrichs, Linda Harrier, Chuck Herrig</w:t>
      </w:r>
      <w:r w:rsidR="00A51EF6">
        <w:t>,</w:t>
      </w:r>
      <w:r w:rsidR="00A51EF6" w:rsidRPr="00A51EF6">
        <w:t xml:space="preserve"> </w:t>
      </w:r>
      <w:r w:rsidR="00A51EF6">
        <w:rPr>
          <w:color w:val="000000" w:themeColor="text1"/>
        </w:rPr>
        <w:t xml:space="preserve">Joel Meyer, </w:t>
      </w:r>
      <w:r w:rsidR="00A51EF6">
        <w:t>Marv Meyer,</w:t>
      </w:r>
      <w:r w:rsidR="00A51EF6" w:rsidRPr="00A51EF6">
        <w:rPr>
          <w:color w:val="000000" w:themeColor="text1"/>
        </w:rPr>
        <w:t xml:space="preserve"> </w:t>
      </w:r>
      <w:r w:rsidR="00A51EF6">
        <w:rPr>
          <w:color w:val="000000" w:themeColor="text1"/>
        </w:rPr>
        <w:t>Rick Quackenbush</w:t>
      </w:r>
    </w:p>
    <w:p w14:paraId="29A2A998" w14:textId="71A76BF5" w:rsidR="00853B50" w:rsidRDefault="008F76A7" w:rsidP="00B231D0">
      <w:r>
        <w:rPr>
          <w:b/>
        </w:rPr>
        <w:t>Absent</w:t>
      </w:r>
      <w:r w:rsidR="00A72685">
        <w:rPr>
          <w:b/>
        </w:rPr>
        <w:t>:</w:t>
      </w:r>
      <w:r w:rsidR="00047B1B">
        <w:t xml:space="preserve"> </w:t>
      </w:r>
      <w:r w:rsidR="00304093">
        <w:rPr>
          <w:color w:val="000000" w:themeColor="text1"/>
        </w:rPr>
        <w:t>Todd Amerman</w:t>
      </w:r>
    </w:p>
    <w:p w14:paraId="247E63E2" w14:textId="0D6A5843" w:rsidR="0012367B" w:rsidRPr="00E66F45" w:rsidRDefault="008F76A7" w:rsidP="00853B50">
      <w:pPr>
        <w:rPr>
          <w:color w:val="000000" w:themeColor="text1"/>
        </w:rPr>
      </w:pPr>
      <w:r>
        <w:rPr>
          <w:b/>
          <w:color w:val="000000" w:themeColor="text1"/>
        </w:rPr>
        <w:t>Guests</w:t>
      </w:r>
      <w:r w:rsidR="00A72685">
        <w:rPr>
          <w:b/>
          <w:color w:val="000000" w:themeColor="text1"/>
        </w:rPr>
        <w:t>:</w:t>
      </w:r>
      <w:r w:rsidR="0076406F" w:rsidRPr="00E66F45">
        <w:rPr>
          <w:color w:val="000000" w:themeColor="text1"/>
        </w:rPr>
        <w:t xml:space="preserve"> </w:t>
      </w:r>
      <w:r w:rsidR="00900E39" w:rsidRPr="00E66F45">
        <w:rPr>
          <w:color w:val="000000" w:themeColor="text1"/>
        </w:rPr>
        <w:t>Dave Anderson</w:t>
      </w:r>
      <w:r w:rsidR="00F83200" w:rsidRPr="00E66F45">
        <w:rPr>
          <w:color w:val="000000" w:themeColor="text1"/>
        </w:rPr>
        <w:t xml:space="preserve">, </w:t>
      </w:r>
      <w:r w:rsidR="00304093">
        <w:rPr>
          <w:color w:val="000000" w:themeColor="text1"/>
        </w:rPr>
        <w:t>Marc Bacigalupi,</w:t>
      </w:r>
      <w:r w:rsidR="00A51EF6">
        <w:rPr>
          <w:color w:val="000000" w:themeColor="text1"/>
        </w:rPr>
        <w:t xml:space="preserve"> Kevin E</w:t>
      </w:r>
      <w:r w:rsidR="00304093">
        <w:rPr>
          <w:color w:val="000000" w:themeColor="text1"/>
        </w:rPr>
        <w:t>gan</w:t>
      </w:r>
    </w:p>
    <w:p w14:paraId="03F953B5" w14:textId="77777777" w:rsidR="00F53C7E" w:rsidRDefault="00F53C7E" w:rsidP="00853B50"/>
    <w:p w14:paraId="4EBCB3E2" w14:textId="5B5BFCB1" w:rsidR="00853B50" w:rsidRDefault="00853B50" w:rsidP="00853B50">
      <w:r>
        <w:t>The meeting was called to order by Chair Herrig at 8:</w:t>
      </w:r>
      <w:r w:rsidR="00A51EF6">
        <w:t>3</w:t>
      </w:r>
      <w:r w:rsidR="00304093">
        <w:t>1</w:t>
      </w:r>
      <w:r>
        <w:t xml:space="preserve"> a.m.</w:t>
      </w:r>
    </w:p>
    <w:p w14:paraId="384DC755" w14:textId="162E70B3" w:rsidR="00853B50" w:rsidRDefault="00853B50" w:rsidP="00853B50"/>
    <w:p w14:paraId="1AE4E6BE" w14:textId="204D1C73" w:rsidR="00853B50" w:rsidRDefault="00B231D0" w:rsidP="00853B50">
      <w:r>
        <w:t>Mo</w:t>
      </w:r>
      <w:r w:rsidR="00853B50">
        <w:t>tion by</w:t>
      </w:r>
      <w:r w:rsidR="00E66F45">
        <w:t xml:space="preserve"> </w:t>
      </w:r>
      <w:r w:rsidR="00606798">
        <w:t>Eliason</w:t>
      </w:r>
      <w:r>
        <w:t xml:space="preserve"> and second </w:t>
      </w:r>
      <w:r w:rsidR="00304093">
        <w:t>by Birznieks</w:t>
      </w:r>
      <w:r w:rsidR="00920907">
        <w:t xml:space="preserve"> </w:t>
      </w:r>
      <w:r>
        <w:t xml:space="preserve">to approve the </w:t>
      </w:r>
      <w:r w:rsidR="00304093">
        <w:t>August 12</w:t>
      </w:r>
      <w:r w:rsidR="00274552">
        <w:t>, 2020</w:t>
      </w:r>
      <w:r w:rsidR="00BF603C">
        <w:t xml:space="preserve"> </w:t>
      </w:r>
      <w:r w:rsidR="00CA6B10">
        <w:t>Board</w:t>
      </w:r>
      <w:r w:rsidR="00BF603C">
        <w:t xml:space="preserve"> m</w:t>
      </w:r>
      <w:r>
        <w:t>eeting minute</w:t>
      </w:r>
      <w:r w:rsidR="001F453B">
        <w:t>s</w:t>
      </w:r>
      <w:r>
        <w:t>. Motion approved.</w:t>
      </w:r>
    </w:p>
    <w:p w14:paraId="395EE753" w14:textId="77777777" w:rsidR="00E238D6" w:rsidRDefault="00E238D6" w:rsidP="00853B50"/>
    <w:p w14:paraId="5229D858" w14:textId="68825148" w:rsidR="00A044DD" w:rsidRDefault="00A72685" w:rsidP="0066583D">
      <w:pPr>
        <w:pStyle w:val="Heading2"/>
      </w:pPr>
      <w:r>
        <w:t>Treasurer’s Report</w:t>
      </w:r>
    </w:p>
    <w:tbl>
      <w:tblPr>
        <w:tblStyle w:val="TableGrid"/>
        <w:tblW w:w="0" w:type="auto"/>
        <w:tblInd w:w="355" w:type="dxa"/>
        <w:tblLook w:val="04A0" w:firstRow="1" w:lastRow="0" w:firstColumn="1" w:lastColumn="0" w:noHBand="0" w:noVBand="1"/>
      </w:tblPr>
      <w:tblGrid>
        <w:gridCol w:w="3240"/>
        <w:gridCol w:w="2761"/>
        <w:gridCol w:w="2761"/>
      </w:tblGrid>
      <w:tr w:rsidR="00304093" w:rsidRPr="00581D12" w14:paraId="72B14568" w14:textId="6C573592" w:rsidTr="00492534">
        <w:tc>
          <w:tcPr>
            <w:tcW w:w="3240" w:type="dxa"/>
          </w:tcPr>
          <w:p w14:paraId="115D43A2" w14:textId="1F935CED" w:rsidR="00304093" w:rsidRPr="00581D12" w:rsidRDefault="00304093" w:rsidP="00853B50">
            <w:pPr>
              <w:rPr>
                <w:b/>
                <w:sz w:val="22"/>
                <w:szCs w:val="22"/>
              </w:rPr>
            </w:pPr>
            <w:r w:rsidRPr="00581D12">
              <w:rPr>
                <w:b/>
                <w:sz w:val="22"/>
                <w:szCs w:val="22"/>
              </w:rPr>
              <w:t>Organization</w:t>
            </w:r>
          </w:p>
        </w:tc>
        <w:tc>
          <w:tcPr>
            <w:tcW w:w="2761" w:type="dxa"/>
          </w:tcPr>
          <w:p w14:paraId="41F85719" w14:textId="18C65D10" w:rsidR="00304093" w:rsidRPr="00581D12" w:rsidRDefault="00304093" w:rsidP="00DA04C9">
            <w:pPr>
              <w:jc w:val="right"/>
              <w:rPr>
                <w:b/>
                <w:sz w:val="22"/>
                <w:szCs w:val="22"/>
              </w:rPr>
            </w:pPr>
            <w:r w:rsidRPr="00581D12">
              <w:rPr>
                <w:b/>
                <w:sz w:val="22"/>
                <w:szCs w:val="22"/>
              </w:rPr>
              <w:t>GCOLA*</w:t>
            </w:r>
          </w:p>
        </w:tc>
        <w:tc>
          <w:tcPr>
            <w:tcW w:w="2761" w:type="dxa"/>
          </w:tcPr>
          <w:p w14:paraId="68AF1FD7" w14:textId="4740E216" w:rsidR="00304093" w:rsidRPr="00304093" w:rsidRDefault="00304093" w:rsidP="00DA04C9">
            <w:pPr>
              <w:jc w:val="right"/>
              <w:rPr>
                <w:b/>
                <w:sz w:val="22"/>
                <w:szCs w:val="22"/>
              </w:rPr>
            </w:pPr>
            <w:r w:rsidRPr="00304093">
              <w:rPr>
                <w:b/>
                <w:sz w:val="22"/>
                <w:szCs w:val="22"/>
              </w:rPr>
              <w:t>Gull Chain Preservation Endowment Fund</w:t>
            </w:r>
          </w:p>
        </w:tc>
      </w:tr>
      <w:tr w:rsidR="00304093" w:rsidRPr="00581D12" w14:paraId="09E80FA4" w14:textId="21657A69" w:rsidTr="00492534">
        <w:tc>
          <w:tcPr>
            <w:tcW w:w="3240" w:type="dxa"/>
          </w:tcPr>
          <w:p w14:paraId="15C09202" w14:textId="642363FB" w:rsidR="00304093" w:rsidRPr="00CE5FAB" w:rsidRDefault="00304093" w:rsidP="00853B50">
            <w:pPr>
              <w:rPr>
                <w:b/>
                <w:sz w:val="22"/>
                <w:szCs w:val="22"/>
              </w:rPr>
            </w:pPr>
            <w:r w:rsidRPr="00CE5FAB">
              <w:rPr>
                <w:b/>
                <w:sz w:val="22"/>
                <w:szCs w:val="22"/>
              </w:rPr>
              <w:t>YTD Time Period</w:t>
            </w:r>
          </w:p>
        </w:tc>
        <w:tc>
          <w:tcPr>
            <w:tcW w:w="2761" w:type="dxa"/>
          </w:tcPr>
          <w:p w14:paraId="17AE0782" w14:textId="4D89D84C" w:rsidR="00304093" w:rsidRPr="00CE5FAB" w:rsidRDefault="00304093" w:rsidP="004D368B">
            <w:pPr>
              <w:jc w:val="right"/>
              <w:rPr>
                <w:b/>
                <w:sz w:val="22"/>
                <w:szCs w:val="22"/>
              </w:rPr>
            </w:pPr>
            <w:r>
              <w:rPr>
                <w:b/>
                <w:sz w:val="22"/>
                <w:szCs w:val="22"/>
              </w:rPr>
              <w:t>8-31-2020</w:t>
            </w:r>
          </w:p>
        </w:tc>
        <w:tc>
          <w:tcPr>
            <w:tcW w:w="2761" w:type="dxa"/>
          </w:tcPr>
          <w:p w14:paraId="4D15D8EC" w14:textId="3EB7AC18" w:rsidR="00304093" w:rsidRPr="00304093" w:rsidRDefault="00304093" w:rsidP="004D368B">
            <w:pPr>
              <w:jc w:val="right"/>
              <w:rPr>
                <w:b/>
                <w:sz w:val="22"/>
                <w:szCs w:val="22"/>
              </w:rPr>
            </w:pPr>
            <w:r w:rsidRPr="00304093">
              <w:rPr>
                <w:b/>
                <w:sz w:val="22"/>
                <w:szCs w:val="22"/>
              </w:rPr>
              <w:t>7-31.2020</w:t>
            </w:r>
          </w:p>
        </w:tc>
      </w:tr>
      <w:tr w:rsidR="00304093" w:rsidRPr="00581D12" w14:paraId="523541C3" w14:textId="5A2FBA36" w:rsidTr="00492534">
        <w:tc>
          <w:tcPr>
            <w:tcW w:w="3240" w:type="dxa"/>
          </w:tcPr>
          <w:p w14:paraId="26ACC751" w14:textId="10495A7A" w:rsidR="00304093" w:rsidRPr="00581D12" w:rsidRDefault="00304093" w:rsidP="00853B50">
            <w:pPr>
              <w:rPr>
                <w:sz w:val="22"/>
                <w:szCs w:val="22"/>
              </w:rPr>
            </w:pPr>
            <w:r w:rsidRPr="00581D12">
              <w:rPr>
                <w:sz w:val="22"/>
                <w:szCs w:val="22"/>
              </w:rPr>
              <w:t>Total Income</w:t>
            </w:r>
            <w:r>
              <w:rPr>
                <w:sz w:val="22"/>
                <w:szCs w:val="22"/>
              </w:rPr>
              <w:t xml:space="preserve"> (Loss)</w:t>
            </w:r>
          </w:p>
        </w:tc>
        <w:tc>
          <w:tcPr>
            <w:tcW w:w="2761" w:type="dxa"/>
          </w:tcPr>
          <w:p w14:paraId="4D6745DE" w14:textId="04D05676" w:rsidR="00304093" w:rsidRPr="00581D12" w:rsidRDefault="00304093" w:rsidP="004D368B">
            <w:pPr>
              <w:jc w:val="right"/>
              <w:rPr>
                <w:sz w:val="22"/>
                <w:szCs w:val="22"/>
              </w:rPr>
            </w:pPr>
            <w:r>
              <w:rPr>
                <w:sz w:val="22"/>
                <w:szCs w:val="22"/>
              </w:rPr>
              <w:t>$108,135.00</w:t>
            </w:r>
          </w:p>
        </w:tc>
        <w:tc>
          <w:tcPr>
            <w:tcW w:w="2761" w:type="dxa"/>
          </w:tcPr>
          <w:p w14:paraId="740799B5" w14:textId="72E94ACD" w:rsidR="00304093" w:rsidRPr="00304093" w:rsidRDefault="00304093" w:rsidP="004D368B">
            <w:pPr>
              <w:jc w:val="right"/>
              <w:rPr>
                <w:sz w:val="22"/>
                <w:szCs w:val="22"/>
              </w:rPr>
            </w:pPr>
            <w:r>
              <w:rPr>
                <w:sz w:val="22"/>
                <w:szCs w:val="22"/>
              </w:rPr>
              <w:t>($6,986.02)</w:t>
            </w:r>
          </w:p>
        </w:tc>
      </w:tr>
      <w:tr w:rsidR="00304093" w:rsidRPr="00581D12" w14:paraId="7E5C51F1" w14:textId="62A0AAC4" w:rsidTr="00492534">
        <w:tc>
          <w:tcPr>
            <w:tcW w:w="3240" w:type="dxa"/>
            <w:tcBorders>
              <w:bottom w:val="single" w:sz="4" w:space="0" w:color="auto"/>
            </w:tcBorders>
          </w:tcPr>
          <w:p w14:paraId="6028BE70" w14:textId="2F2DA0A9" w:rsidR="00304093" w:rsidRPr="00581D12" w:rsidRDefault="00304093" w:rsidP="00853B50">
            <w:pPr>
              <w:rPr>
                <w:sz w:val="22"/>
                <w:szCs w:val="22"/>
              </w:rPr>
            </w:pPr>
            <w:r w:rsidRPr="00581D12">
              <w:rPr>
                <w:sz w:val="22"/>
                <w:szCs w:val="22"/>
              </w:rPr>
              <w:t>Total Expense</w:t>
            </w:r>
          </w:p>
        </w:tc>
        <w:tc>
          <w:tcPr>
            <w:tcW w:w="2761" w:type="dxa"/>
            <w:tcBorders>
              <w:bottom w:val="single" w:sz="4" w:space="0" w:color="auto"/>
            </w:tcBorders>
          </w:tcPr>
          <w:p w14:paraId="161EBE69" w14:textId="122AA46F" w:rsidR="00304093" w:rsidRPr="00581D12" w:rsidRDefault="00304093" w:rsidP="00274552">
            <w:pPr>
              <w:jc w:val="right"/>
              <w:rPr>
                <w:sz w:val="22"/>
                <w:szCs w:val="22"/>
              </w:rPr>
            </w:pPr>
            <w:r>
              <w:rPr>
                <w:sz w:val="22"/>
                <w:szCs w:val="22"/>
              </w:rPr>
              <w:t>$79,770.89</w:t>
            </w:r>
          </w:p>
        </w:tc>
        <w:tc>
          <w:tcPr>
            <w:tcW w:w="2761" w:type="dxa"/>
            <w:tcBorders>
              <w:bottom w:val="single" w:sz="4" w:space="0" w:color="auto"/>
            </w:tcBorders>
          </w:tcPr>
          <w:p w14:paraId="48C3FE57" w14:textId="18E75C1E" w:rsidR="00304093" w:rsidRPr="00304093" w:rsidRDefault="00AB77FD" w:rsidP="00274552">
            <w:pPr>
              <w:jc w:val="right"/>
              <w:rPr>
                <w:sz w:val="22"/>
                <w:szCs w:val="22"/>
              </w:rPr>
            </w:pPr>
            <w:r>
              <w:rPr>
                <w:sz w:val="22"/>
                <w:szCs w:val="22"/>
              </w:rPr>
              <w:t>$238.99</w:t>
            </w:r>
          </w:p>
        </w:tc>
      </w:tr>
      <w:tr w:rsidR="00304093" w:rsidRPr="00581D12" w14:paraId="15C718F1" w14:textId="220120FB" w:rsidTr="00492534">
        <w:tc>
          <w:tcPr>
            <w:tcW w:w="3240" w:type="dxa"/>
            <w:tcBorders>
              <w:bottom w:val="double" w:sz="4" w:space="0" w:color="auto"/>
            </w:tcBorders>
          </w:tcPr>
          <w:p w14:paraId="074C8D3E" w14:textId="1FF689C9" w:rsidR="00304093" w:rsidRPr="00581D12" w:rsidRDefault="00304093" w:rsidP="00853B50">
            <w:pPr>
              <w:rPr>
                <w:sz w:val="22"/>
                <w:szCs w:val="22"/>
              </w:rPr>
            </w:pPr>
            <w:r w:rsidRPr="00581D12">
              <w:rPr>
                <w:sz w:val="22"/>
                <w:szCs w:val="22"/>
              </w:rPr>
              <w:t>Net Other Income</w:t>
            </w:r>
            <w:r>
              <w:rPr>
                <w:sz w:val="22"/>
                <w:szCs w:val="22"/>
              </w:rPr>
              <w:t>(Expense)</w:t>
            </w:r>
          </w:p>
        </w:tc>
        <w:tc>
          <w:tcPr>
            <w:tcW w:w="2761" w:type="dxa"/>
            <w:tcBorders>
              <w:bottom w:val="double" w:sz="4" w:space="0" w:color="auto"/>
            </w:tcBorders>
          </w:tcPr>
          <w:p w14:paraId="1ED33E7F" w14:textId="63F2311F" w:rsidR="00304093" w:rsidRPr="00581D12" w:rsidRDefault="00304093" w:rsidP="00DA04C9">
            <w:pPr>
              <w:jc w:val="right"/>
              <w:rPr>
                <w:sz w:val="22"/>
                <w:szCs w:val="22"/>
              </w:rPr>
            </w:pPr>
            <w:r>
              <w:rPr>
                <w:sz w:val="22"/>
                <w:szCs w:val="22"/>
              </w:rPr>
              <w:t>$679.85</w:t>
            </w:r>
          </w:p>
        </w:tc>
        <w:tc>
          <w:tcPr>
            <w:tcW w:w="2761" w:type="dxa"/>
            <w:tcBorders>
              <w:bottom w:val="double" w:sz="4" w:space="0" w:color="auto"/>
            </w:tcBorders>
          </w:tcPr>
          <w:p w14:paraId="205AFAB4" w14:textId="683769E6" w:rsidR="00304093" w:rsidRPr="00304093" w:rsidRDefault="00AB77FD" w:rsidP="00DA04C9">
            <w:pPr>
              <w:jc w:val="right"/>
              <w:rPr>
                <w:sz w:val="22"/>
                <w:szCs w:val="22"/>
              </w:rPr>
            </w:pPr>
            <w:r>
              <w:rPr>
                <w:sz w:val="22"/>
                <w:szCs w:val="22"/>
              </w:rPr>
              <w:t>($3,275.53)</w:t>
            </w:r>
          </w:p>
        </w:tc>
      </w:tr>
      <w:tr w:rsidR="00304093" w:rsidRPr="00581D12" w14:paraId="0E138554" w14:textId="5D5083BC" w:rsidTr="00492534">
        <w:tc>
          <w:tcPr>
            <w:tcW w:w="3240" w:type="dxa"/>
            <w:tcBorders>
              <w:top w:val="double" w:sz="4" w:space="0" w:color="auto"/>
            </w:tcBorders>
          </w:tcPr>
          <w:p w14:paraId="1626C25F" w14:textId="5E29527E" w:rsidR="00304093" w:rsidRPr="00581D12" w:rsidRDefault="00304093" w:rsidP="00880E09">
            <w:pPr>
              <w:rPr>
                <w:sz w:val="22"/>
                <w:szCs w:val="22"/>
              </w:rPr>
            </w:pPr>
            <w:r w:rsidRPr="00581D12">
              <w:rPr>
                <w:sz w:val="22"/>
                <w:szCs w:val="22"/>
              </w:rPr>
              <w:t>Net Income(</w:t>
            </w:r>
            <w:r>
              <w:rPr>
                <w:sz w:val="22"/>
                <w:szCs w:val="22"/>
              </w:rPr>
              <w:t>Loss</w:t>
            </w:r>
            <w:r w:rsidRPr="00581D12">
              <w:rPr>
                <w:sz w:val="22"/>
                <w:szCs w:val="22"/>
              </w:rPr>
              <w:t>)</w:t>
            </w:r>
          </w:p>
        </w:tc>
        <w:tc>
          <w:tcPr>
            <w:tcW w:w="2761" w:type="dxa"/>
            <w:tcBorders>
              <w:top w:val="double" w:sz="4" w:space="0" w:color="auto"/>
            </w:tcBorders>
          </w:tcPr>
          <w:p w14:paraId="67FB7932" w14:textId="69333BB3" w:rsidR="00304093" w:rsidRPr="00581D12" w:rsidRDefault="00304093" w:rsidP="00880E09">
            <w:pPr>
              <w:jc w:val="right"/>
              <w:rPr>
                <w:sz w:val="22"/>
                <w:szCs w:val="22"/>
              </w:rPr>
            </w:pPr>
            <w:r>
              <w:rPr>
                <w:sz w:val="22"/>
                <w:szCs w:val="22"/>
              </w:rPr>
              <w:t>$29,043.96</w:t>
            </w:r>
          </w:p>
        </w:tc>
        <w:tc>
          <w:tcPr>
            <w:tcW w:w="2761" w:type="dxa"/>
            <w:tcBorders>
              <w:top w:val="double" w:sz="4" w:space="0" w:color="auto"/>
            </w:tcBorders>
          </w:tcPr>
          <w:p w14:paraId="74DAB3E9" w14:textId="4103E778" w:rsidR="00304093" w:rsidRPr="00304093" w:rsidRDefault="00AB77FD" w:rsidP="00880E09">
            <w:pPr>
              <w:jc w:val="right"/>
              <w:rPr>
                <w:sz w:val="22"/>
                <w:szCs w:val="22"/>
              </w:rPr>
            </w:pPr>
            <w:r>
              <w:rPr>
                <w:sz w:val="22"/>
                <w:szCs w:val="22"/>
              </w:rPr>
              <w:t>($10,500.54)</w:t>
            </w:r>
          </w:p>
        </w:tc>
      </w:tr>
      <w:tr w:rsidR="00304093" w:rsidRPr="00581D12" w14:paraId="544E4C34" w14:textId="0534F213" w:rsidTr="00492534">
        <w:tc>
          <w:tcPr>
            <w:tcW w:w="3240" w:type="dxa"/>
            <w:shd w:val="clear" w:color="auto" w:fill="F2F2F2" w:themeFill="background1" w:themeFillShade="F2"/>
          </w:tcPr>
          <w:p w14:paraId="5012A003" w14:textId="28547D91" w:rsidR="00304093" w:rsidRPr="00581D12" w:rsidRDefault="00304093" w:rsidP="00853B50">
            <w:pPr>
              <w:rPr>
                <w:sz w:val="22"/>
                <w:szCs w:val="22"/>
              </w:rPr>
            </w:pPr>
            <w:r w:rsidRPr="00581D12">
              <w:rPr>
                <w:sz w:val="22"/>
                <w:szCs w:val="22"/>
              </w:rPr>
              <w:t>Total Current Assets</w:t>
            </w:r>
          </w:p>
        </w:tc>
        <w:tc>
          <w:tcPr>
            <w:tcW w:w="2761" w:type="dxa"/>
            <w:shd w:val="clear" w:color="auto" w:fill="F2F2F2" w:themeFill="background1" w:themeFillShade="F2"/>
          </w:tcPr>
          <w:p w14:paraId="759170D2" w14:textId="678355C8" w:rsidR="00304093" w:rsidRPr="00581D12" w:rsidRDefault="00304093" w:rsidP="00DA04C9">
            <w:pPr>
              <w:jc w:val="right"/>
              <w:rPr>
                <w:sz w:val="22"/>
                <w:szCs w:val="22"/>
              </w:rPr>
            </w:pPr>
            <w:r>
              <w:rPr>
                <w:sz w:val="22"/>
                <w:szCs w:val="22"/>
              </w:rPr>
              <w:t>$274,750.81</w:t>
            </w:r>
          </w:p>
        </w:tc>
        <w:tc>
          <w:tcPr>
            <w:tcW w:w="2761" w:type="dxa"/>
            <w:shd w:val="clear" w:color="auto" w:fill="F2F2F2" w:themeFill="background1" w:themeFillShade="F2"/>
          </w:tcPr>
          <w:p w14:paraId="5B378344" w14:textId="60DC0B1C" w:rsidR="00304093" w:rsidRPr="00304093" w:rsidRDefault="00AB77FD" w:rsidP="00DA04C9">
            <w:pPr>
              <w:jc w:val="right"/>
              <w:rPr>
                <w:sz w:val="22"/>
                <w:szCs w:val="22"/>
              </w:rPr>
            </w:pPr>
            <w:r>
              <w:rPr>
                <w:sz w:val="22"/>
                <w:szCs w:val="22"/>
              </w:rPr>
              <w:t>$332,879.91</w:t>
            </w:r>
          </w:p>
        </w:tc>
      </w:tr>
    </w:tbl>
    <w:p w14:paraId="6EAFFBDD" w14:textId="7C538C33" w:rsidR="00E66F45" w:rsidRDefault="00E66F45" w:rsidP="00380ED7">
      <w:pPr>
        <w:ind w:left="360"/>
      </w:pPr>
      <w:r>
        <w:t>*</w:t>
      </w:r>
      <w:r w:rsidRPr="00E66F45">
        <w:t xml:space="preserve"> </w:t>
      </w:r>
      <w:r>
        <w:t>The treasurer’s report was set aside subject to audit</w:t>
      </w:r>
      <w:r w:rsidR="00581D12">
        <w:t>.</w:t>
      </w:r>
    </w:p>
    <w:p w14:paraId="64404943" w14:textId="56DE175F" w:rsidR="00F93006" w:rsidRDefault="00F93006" w:rsidP="0066583D">
      <w:pPr>
        <w:pStyle w:val="Heading2"/>
      </w:pPr>
      <w:r>
        <w:t>Correspondence</w:t>
      </w:r>
    </w:p>
    <w:p w14:paraId="21337733" w14:textId="35D8746D" w:rsidR="00F93006" w:rsidRDefault="00AB77FD" w:rsidP="00F93006">
      <w:pPr>
        <w:pStyle w:val="ListParagraph"/>
        <w:numPr>
          <w:ilvl w:val="0"/>
          <w:numId w:val="34"/>
        </w:numPr>
      </w:pPr>
      <w:r>
        <w:t>Conservation MN Grant – Eliason will share with Whitmer to apply for the grant.</w:t>
      </w:r>
    </w:p>
    <w:p w14:paraId="3B0DEF3A" w14:textId="56872095" w:rsidR="00F93006" w:rsidRDefault="00F93006" w:rsidP="00F93006">
      <w:pPr>
        <w:pStyle w:val="Heading2"/>
      </w:pPr>
      <w:r>
        <w:t>Donation Requests</w:t>
      </w:r>
    </w:p>
    <w:p w14:paraId="1CA7B7AE" w14:textId="0AA10487" w:rsidR="00F93006" w:rsidRPr="00F93006" w:rsidRDefault="00AB77FD" w:rsidP="00F93006">
      <w:pPr>
        <w:pStyle w:val="ListParagraph"/>
        <w:numPr>
          <w:ilvl w:val="0"/>
          <w:numId w:val="34"/>
        </w:numPr>
      </w:pPr>
      <w:r>
        <w:t>None</w:t>
      </w:r>
    </w:p>
    <w:p w14:paraId="69E73C9C" w14:textId="17B1FDC9" w:rsidR="0073536E" w:rsidRDefault="007F24A0" w:rsidP="0066583D">
      <w:pPr>
        <w:pStyle w:val="Heading2"/>
      </w:pPr>
      <w:r>
        <w:t>USACE</w:t>
      </w:r>
      <w:r w:rsidR="00D72A2D">
        <w:t>/MN DNR</w:t>
      </w:r>
      <w:r>
        <w:t xml:space="preserve"> </w:t>
      </w:r>
      <w:r w:rsidRPr="007F24A0">
        <w:t>Update</w:t>
      </w:r>
    </w:p>
    <w:p w14:paraId="76413706" w14:textId="4AC4767E" w:rsidR="00F837AF" w:rsidRDefault="00AB77FD" w:rsidP="00F837AF">
      <w:pPr>
        <w:pStyle w:val="ListParagraph"/>
        <w:numPr>
          <w:ilvl w:val="0"/>
          <w:numId w:val="20"/>
        </w:numPr>
      </w:pPr>
      <w:r>
        <w:t xml:space="preserve">Bacigalupi </w:t>
      </w:r>
      <w:r w:rsidR="001F453B">
        <w:t>explained</w:t>
      </w:r>
      <w:r w:rsidR="00D10E97">
        <w:t xml:space="preserve"> that n</w:t>
      </w:r>
      <w:r>
        <w:t>o muskie fingerlings will be stocked and a private contractor will stock walleye fingerlings this fall. The DNR is currently conducting a yellow perch study.</w:t>
      </w:r>
    </w:p>
    <w:p w14:paraId="7D907156" w14:textId="3222F96F" w:rsidR="00540B1F" w:rsidRDefault="008F76A7" w:rsidP="00F837AF">
      <w:pPr>
        <w:pStyle w:val="Heading2"/>
      </w:pPr>
      <w:r>
        <w:t>Event Updates</w:t>
      </w:r>
    </w:p>
    <w:p w14:paraId="2E648F0E" w14:textId="08FB63EA" w:rsidR="00AB77FD" w:rsidRPr="00AB77FD" w:rsidRDefault="00AB77FD" w:rsidP="00AB77FD">
      <w:pPr>
        <w:pStyle w:val="ListParagraph"/>
        <w:numPr>
          <w:ilvl w:val="0"/>
          <w:numId w:val="20"/>
        </w:numPr>
      </w:pPr>
      <w:r>
        <w:t>Bill Brekken host</w:t>
      </w:r>
      <w:r w:rsidR="001F453B">
        <w:t>ed</w:t>
      </w:r>
      <w:r>
        <w:t xml:space="preserve"> the Crow Wing County mid-year review.</w:t>
      </w:r>
      <w:r w:rsidR="001A58D9">
        <w:t xml:space="preserve"> Herrig reported there is lots of interest in the U of M boat wake study and GCOLA should extensively communicate results via the website, Facebook, newsletter and email. The Initiative Foundation sponsored a </w:t>
      </w:r>
      <w:r w:rsidR="001F453B">
        <w:t>two-year</w:t>
      </w:r>
      <w:r w:rsidR="001A58D9">
        <w:t xml:space="preserve"> plan on managing AIS with 16 projects awarded funding. Crow Wing AIS inspectors completed 10,000 more inspections this year.</w:t>
      </w:r>
    </w:p>
    <w:p w14:paraId="115E5D10" w14:textId="178AC236" w:rsidR="00D266F5" w:rsidRDefault="00D266F5" w:rsidP="00D266F5">
      <w:pPr>
        <w:pStyle w:val="Heading2"/>
      </w:pPr>
      <w:r w:rsidRPr="00DC4ADE">
        <w:t>AIS Committee</w:t>
      </w:r>
    </w:p>
    <w:p w14:paraId="26A428FC" w14:textId="1577583C" w:rsidR="001A58D9" w:rsidRPr="00AA6225" w:rsidRDefault="001A58D9" w:rsidP="005C1098">
      <w:pPr>
        <w:pStyle w:val="ListParagraph"/>
        <w:numPr>
          <w:ilvl w:val="0"/>
          <w:numId w:val="6"/>
        </w:numPr>
        <w:rPr>
          <w:b/>
        </w:rPr>
      </w:pPr>
      <w:r>
        <w:t xml:space="preserve">As part of the MAISRC Starry Trek event the most popular boat landings were inspected by Allex and others with no new AIS discovered. Allex is working with MAISRC to research the amount </w:t>
      </w:r>
      <w:r>
        <w:lastRenderedPageBreak/>
        <w:t>of zebra mussels on docks in 2021. Allex will contact the DNR to remind them to notify GCOLA of fishing contests so that we can schedule inspectors during the busy times. Up the Creek Meats is sold out of beef so an article will appear in the spring newsletter about new availability.</w:t>
      </w:r>
    </w:p>
    <w:p w14:paraId="462252E6" w14:textId="0369A18B" w:rsidR="00A57F98" w:rsidRDefault="00DA3588" w:rsidP="0066583D">
      <w:pPr>
        <w:pStyle w:val="Heading2"/>
      </w:pPr>
      <w:r w:rsidRPr="009E57BB">
        <w:t>Communications Committee</w:t>
      </w:r>
      <w:r w:rsidR="0076406F">
        <w:t xml:space="preserve"> </w:t>
      </w:r>
    </w:p>
    <w:p w14:paraId="41667DAC" w14:textId="1AF431B8" w:rsidR="00516DD8" w:rsidRDefault="001A58D9" w:rsidP="00FA74F8">
      <w:pPr>
        <w:pStyle w:val="ListParagraph"/>
        <w:numPr>
          <w:ilvl w:val="0"/>
          <w:numId w:val="6"/>
        </w:numPr>
      </w:pPr>
      <w:r>
        <w:t>Harrier announced the fall newsletter will be mailed by September 30 and the next round of articles will be due by October 23.</w:t>
      </w:r>
    </w:p>
    <w:p w14:paraId="3CCF3285" w14:textId="560CBAC8" w:rsidR="00A05F2A" w:rsidRDefault="00DA3588" w:rsidP="00516DD8">
      <w:pPr>
        <w:pStyle w:val="Heading2"/>
      </w:pPr>
      <w:r w:rsidRPr="009E57BB">
        <w:t>Environmental Committee</w:t>
      </w:r>
      <w:r w:rsidR="0076406F">
        <w:t xml:space="preserve"> </w:t>
      </w:r>
    </w:p>
    <w:p w14:paraId="2A1382C6" w14:textId="69C38797" w:rsidR="007B27F6" w:rsidRDefault="00516DD8" w:rsidP="008640FA">
      <w:pPr>
        <w:pStyle w:val="ListParagraph"/>
        <w:numPr>
          <w:ilvl w:val="0"/>
          <w:numId w:val="13"/>
        </w:numPr>
      </w:pPr>
      <w:r>
        <w:t xml:space="preserve">Eliason </w:t>
      </w:r>
      <w:r w:rsidR="00D10E97">
        <w:t xml:space="preserve">stated the loon survey results are in and will be compiled soon. Responsibility for coordinating the </w:t>
      </w:r>
      <w:r w:rsidR="00AA6225">
        <w:t xml:space="preserve">2021 </w:t>
      </w:r>
      <w:r w:rsidR="00D10E97">
        <w:t>loon survey will be passed to Am</w:t>
      </w:r>
      <w:r w:rsidR="00AA6225">
        <w:t>erman</w:t>
      </w:r>
      <w:r w:rsidR="00D10E97">
        <w:t>.</w:t>
      </w:r>
    </w:p>
    <w:p w14:paraId="00EFCCC8" w14:textId="10B7D474" w:rsidR="00ED1BCA" w:rsidRDefault="00ED1BCA" w:rsidP="0066583D">
      <w:pPr>
        <w:pStyle w:val="Heading2"/>
      </w:pPr>
      <w:r w:rsidRPr="00A05F2A">
        <w:t xml:space="preserve">Finance </w:t>
      </w:r>
      <w:r w:rsidR="00A044DD">
        <w:t xml:space="preserve">&amp; Audit </w:t>
      </w:r>
      <w:r w:rsidRPr="00A05F2A">
        <w:t>Committee</w:t>
      </w:r>
      <w:r w:rsidR="0076406F">
        <w:t xml:space="preserve"> </w:t>
      </w:r>
    </w:p>
    <w:p w14:paraId="557C1AD1" w14:textId="0F826811" w:rsidR="00254D74" w:rsidRPr="00254D74" w:rsidRDefault="00D10E97" w:rsidP="00254D74">
      <w:pPr>
        <w:pStyle w:val="ListParagraph"/>
        <w:numPr>
          <w:ilvl w:val="0"/>
          <w:numId w:val="13"/>
        </w:numPr>
      </w:pPr>
      <w:r>
        <w:t>Meyer reported that expenses will be lower in the shoreline restoration category due to COVID and Allex confirmed AIS expen</w:t>
      </w:r>
      <w:r w:rsidR="00AA6225">
        <w:t>ses will be under budget</w:t>
      </w:r>
      <w:r>
        <w:t>.</w:t>
      </w:r>
    </w:p>
    <w:p w14:paraId="28813EB6" w14:textId="0FD42151" w:rsidR="00A05F2A" w:rsidRDefault="00A05F2A" w:rsidP="0066583D">
      <w:pPr>
        <w:pStyle w:val="Heading2"/>
      </w:pPr>
      <w:r w:rsidRPr="007B27F6">
        <w:t>Fisheries Committee</w:t>
      </w:r>
      <w:r w:rsidR="00EF7919">
        <w:t xml:space="preserve"> </w:t>
      </w:r>
    </w:p>
    <w:p w14:paraId="58ED0A79" w14:textId="615FEB79" w:rsidR="00880F09" w:rsidRPr="00254D74" w:rsidRDefault="00D10E97" w:rsidP="00880F09">
      <w:pPr>
        <w:pStyle w:val="ListParagraph"/>
        <w:numPr>
          <w:ilvl w:val="0"/>
          <w:numId w:val="13"/>
        </w:numPr>
      </w:pPr>
      <w:r>
        <w:t xml:space="preserve">Herrig said there is spiny waterflea research being done on other </w:t>
      </w:r>
      <w:r w:rsidR="00AA6225">
        <w:t xml:space="preserve">Crow Wing county lakes. </w:t>
      </w:r>
      <w:r>
        <w:t>Next year the Gull Lake Chain will be included.</w:t>
      </w:r>
    </w:p>
    <w:p w14:paraId="1202D6F5" w14:textId="4F848CD1" w:rsidR="00A044DD" w:rsidRDefault="00EF7919" w:rsidP="0066583D">
      <w:pPr>
        <w:pStyle w:val="Heading2"/>
      </w:pPr>
      <w:r>
        <w:t>Government Relations</w:t>
      </w:r>
      <w:r w:rsidR="00ED1BCA" w:rsidRPr="00A05F2A">
        <w:t xml:space="preserve"> Committee</w:t>
      </w:r>
    </w:p>
    <w:p w14:paraId="1302C240" w14:textId="18049E5A" w:rsidR="00E94103" w:rsidRPr="00F950BF" w:rsidRDefault="00880F09" w:rsidP="006466DC">
      <w:pPr>
        <w:pStyle w:val="ListParagraph"/>
        <w:numPr>
          <w:ilvl w:val="0"/>
          <w:numId w:val="25"/>
        </w:numPr>
        <w:rPr>
          <w:b/>
        </w:rPr>
      </w:pPr>
      <w:r>
        <w:t xml:space="preserve">Birznieks </w:t>
      </w:r>
      <w:r w:rsidR="00D10E97">
        <w:t>informed the Board that</w:t>
      </w:r>
      <w:r w:rsidR="00516DD8">
        <w:t xml:space="preserve"> </w:t>
      </w:r>
      <w:r w:rsidR="00D10E97">
        <w:t xml:space="preserve">the East Gull Lake </w:t>
      </w:r>
      <w:r w:rsidR="00AA6225">
        <w:t>City C</w:t>
      </w:r>
      <w:r w:rsidR="00D10E97">
        <w:t>ouncil did not approve helipads within the city limits</w:t>
      </w:r>
      <w:r w:rsidR="00242799">
        <w:t>.</w:t>
      </w:r>
    </w:p>
    <w:p w14:paraId="2BBB4E55" w14:textId="2B1B12EE" w:rsidR="00A044DD" w:rsidRDefault="00FA5692" w:rsidP="0066583D">
      <w:pPr>
        <w:pStyle w:val="Heading2"/>
      </w:pPr>
      <w:r w:rsidRPr="00A05F2A">
        <w:t>Membership Committee</w:t>
      </w:r>
      <w:r w:rsidR="0076406F">
        <w:t xml:space="preserve"> </w:t>
      </w:r>
    </w:p>
    <w:p w14:paraId="02691E4C" w14:textId="608A00C3" w:rsidR="00F97A5F" w:rsidRDefault="001F453B" w:rsidP="0066583D">
      <w:pPr>
        <w:pStyle w:val="ListParagraph"/>
        <w:numPr>
          <w:ilvl w:val="0"/>
          <w:numId w:val="25"/>
        </w:numPr>
      </w:pPr>
      <w:r>
        <w:t>Edwards reported there are 942</w:t>
      </w:r>
      <w:r w:rsidR="00E238D6">
        <w:t xml:space="preserve"> </w:t>
      </w:r>
      <w:bookmarkStart w:id="0" w:name="_GoBack"/>
      <w:bookmarkEnd w:id="0"/>
      <w:r>
        <w:t xml:space="preserve">paid members and </w:t>
      </w:r>
      <w:r w:rsidR="00E238D6">
        <w:t>6</w:t>
      </w:r>
      <w:r>
        <w:t xml:space="preserve">4 </w:t>
      </w:r>
      <w:r w:rsidR="00E238D6">
        <w:t xml:space="preserve">are businesses. </w:t>
      </w:r>
    </w:p>
    <w:p w14:paraId="4A0ADB2C" w14:textId="48B2089B" w:rsidR="00FA5692" w:rsidRDefault="00FA5692" w:rsidP="0066583D">
      <w:pPr>
        <w:pStyle w:val="Heading2"/>
      </w:pPr>
      <w:r w:rsidRPr="00A05F2A">
        <w:t>Recreation and Safety</w:t>
      </w:r>
      <w:r w:rsidR="0076406F">
        <w:t xml:space="preserve"> </w:t>
      </w:r>
    </w:p>
    <w:p w14:paraId="62F05C9F" w14:textId="29373CB9" w:rsidR="003A3EC9" w:rsidRDefault="00E238D6" w:rsidP="00F53C7E">
      <w:pPr>
        <w:pStyle w:val="ListParagraph"/>
        <w:numPr>
          <w:ilvl w:val="0"/>
          <w:numId w:val="15"/>
        </w:numPr>
      </w:pPr>
      <w:r>
        <w:t xml:space="preserve">Chaney </w:t>
      </w:r>
      <w:r w:rsidR="00D10E97">
        <w:t>would like to use buoy funds for additional lighted buoys next year since so many people are complimentary of them</w:t>
      </w:r>
      <w:r>
        <w:t xml:space="preserve">. </w:t>
      </w:r>
    </w:p>
    <w:p w14:paraId="04E6BD64" w14:textId="624CB2CC" w:rsidR="00F53C7E" w:rsidRDefault="00F53C7E" w:rsidP="003A3EC9"/>
    <w:p w14:paraId="011705EA" w14:textId="7B02CAC2" w:rsidR="00380ED7" w:rsidRDefault="00BF6F18" w:rsidP="003A3EC9">
      <w:r>
        <w:t xml:space="preserve">Motion to adjourn the meeting by </w:t>
      </w:r>
      <w:r w:rsidR="00880F09">
        <w:t>Eliason</w:t>
      </w:r>
      <w:r w:rsidR="00344F7C">
        <w:t xml:space="preserve"> and second by </w:t>
      </w:r>
      <w:r w:rsidR="001F453B">
        <w:t>Edwards</w:t>
      </w:r>
      <w:r w:rsidR="00474C7D">
        <w:t xml:space="preserve">. </w:t>
      </w:r>
      <w:r>
        <w:t>Motion approve</w:t>
      </w:r>
      <w:r w:rsidR="00F950BF">
        <w:t>d</w:t>
      </w:r>
      <w:r>
        <w:t>.</w:t>
      </w:r>
    </w:p>
    <w:p w14:paraId="0E21F9AB" w14:textId="77777777" w:rsidR="00F950BF" w:rsidRDefault="00F950BF"/>
    <w:p w14:paraId="41549F65" w14:textId="50F43F61" w:rsidR="00C86D4E" w:rsidRDefault="00873D15">
      <w:r>
        <w:t>T</w:t>
      </w:r>
      <w:r w:rsidR="00474C7D">
        <w:t>he meeting was adjourned</w:t>
      </w:r>
      <w:r w:rsidR="001F453B">
        <w:t xml:space="preserve"> at 9:40</w:t>
      </w:r>
      <w:r w:rsidR="00D721F8">
        <w:t xml:space="preserve"> a.m</w:t>
      </w:r>
      <w:r w:rsidR="003A3EC9">
        <w:t>.</w:t>
      </w:r>
      <w:r w:rsidR="00F53C7E">
        <w:t xml:space="preserve"> </w:t>
      </w:r>
      <w:r w:rsidR="003A3EC9">
        <w:t xml:space="preserve">Minutes recorded by Sue Friedrichs. </w:t>
      </w:r>
    </w:p>
    <w:sectPr w:rsidR="00C86D4E" w:rsidSect="00DC3F75">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E4C7A" w14:textId="77777777" w:rsidR="0005680F" w:rsidRDefault="0005680F" w:rsidP="005B33D2">
      <w:r>
        <w:separator/>
      </w:r>
    </w:p>
  </w:endnote>
  <w:endnote w:type="continuationSeparator" w:id="0">
    <w:p w14:paraId="7B3F71A5" w14:textId="77777777" w:rsidR="0005680F" w:rsidRDefault="0005680F" w:rsidP="005B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587717"/>
      <w:docPartObj>
        <w:docPartGallery w:val="Page Numbers (Bottom of Page)"/>
        <w:docPartUnique/>
      </w:docPartObj>
    </w:sdtPr>
    <w:sdtEndPr>
      <w:rPr>
        <w:noProof/>
      </w:rPr>
    </w:sdtEndPr>
    <w:sdtContent>
      <w:p w14:paraId="769085CC" w14:textId="5270C8C0" w:rsidR="00D721F8" w:rsidRDefault="00D721F8" w:rsidP="005B33D2">
        <w:pPr>
          <w:pStyle w:val="Footer"/>
          <w:jc w:val="center"/>
        </w:pPr>
        <w:r>
          <w:fldChar w:fldCharType="begin"/>
        </w:r>
        <w:r>
          <w:instrText xml:space="preserve"> PAGE   \* MERGEFORMAT </w:instrText>
        </w:r>
        <w:r>
          <w:fldChar w:fldCharType="separate"/>
        </w:r>
        <w:r w:rsidR="00AA622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AE93" w14:textId="77777777" w:rsidR="0005680F" w:rsidRDefault="0005680F" w:rsidP="005B33D2">
      <w:r>
        <w:separator/>
      </w:r>
    </w:p>
  </w:footnote>
  <w:footnote w:type="continuationSeparator" w:id="0">
    <w:p w14:paraId="24C51C18" w14:textId="77777777" w:rsidR="0005680F" w:rsidRDefault="0005680F" w:rsidP="005B3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879"/>
    </w:tblGrid>
    <w:tr w:rsidR="00DC3F75" w14:paraId="57D3B937" w14:textId="77777777" w:rsidTr="00500BA1">
      <w:tc>
        <w:tcPr>
          <w:tcW w:w="2335" w:type="dxa"/>
          <w:vAlign w:val="center"/>
        </w:tcPr>
        <w:p w14:paraId="2E164ADE" w14:textId="77777777" w:rsidR="00DC3F75" w:rsidRDefault="00DC3F75" w:rsidP="00DC3F75">
          <w:pPr>
            <w:pStyle w:val="Header"/>
          </w:pPr>
          <w:r>
            <w:rPr>
              <w:noProof/>
            </w:rPr>
            <w:drawing>
              <wp:inline distT="0" distB="0" distL="0" distR="0" wp14:anchorId="707559DB" wp14:editId="61050F75">
                <wp:extent cx="1140166" cy="838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OLA-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53" cy="845910"/>
                        </a:xfrm>
                        <a:prstGeom prst="rect">
                          <a:avLst/>
                        </a:prstGeom>
                      </pic:spPr>
                    </pic:pic>
                  </a:graphicData>
                </a:graphic>
              </wp:inline>
            </w:drawing>
          </w:r>
        </w:p>
      </w:tc>
      <w:tc>
        <w:tcPr>
          <w:tcW w:w="7879" w:type="dxa"/>
          <w:vAlign w:val="center"/>
        </w:tcPr>
        <w:p w14:paraId="2842F613" w14:textId="77777777" w:rsidR="00DC3F75" w:rsidRDefault="00DC3F75" w:rsidP="00DC3F75">
          <w:pPr>
            <w:pStyle w:val="Heading1"/>
            <w:jc w:val="center"/>
            <w:outlineLvl w:val="0"/>
          </w:pPr>
          <w:r>
            <w:t>Board of Directors’ Meeting</w:t>
          </w:r>
        </w:p>
        <w:p w14:paraId="2BE6FF0F" w14:textId="47E20197" w:rsidR="00DC3F75" w:rsidRDefault="00304093" w:rsidP="00DC3F75">
          <w:pPr>
            <w:pStyle w:val="Heading1"/>
            <w:jc w:val="center"/>
            <w:outlineLvl w:val="0"/>
          </w:pPr>
          <w:r>
            <w:t>september 9</w:t>
          </w:r>
          <w:r w:rsidR="00A51EF6">
            <w:t>,</w:t>
          </w:r>
          <w:r w:rsidR="00DC3F75">
            <w:t xml:space="preserve"> 2020 – online</w:t>
          </w:r>
        </w:p>
      </w:tc>
    </w:tr>
  </w:tbl>
  <w:p w14:paraId="06356177" w14:textId="77777777" w:rsidR="00DC3F75" w:rsidRDefault="00DC3F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8A0"/>
    <w:multiLevelType w:val="hybridMultilevel"/>
    <w:tmpl w:val="300E0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D4C02"/>
    <w:multiLevelType w:val="hybridMultilevel"/>
    <w:tmpl w:val="9622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4869"/>
    <w:multiLevelType w:val="hybridMultilevel"/>
    <w:tmpl w:val="3652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77F4"/>
    <w:multiLevelType w:val="hybridMultilevel"/>
    <w:tmpl w:val="5008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42073"/>
    <w:multiLevelType w:val="hybridMultilevel"/>
    <w:tmpl w:val="75E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B0974"/>
    <w:multiLevelType w:val="hybridMultilevel"/>
    <w:tmpl w:val="E34EEBC2"/>
    <w:numStyleLink w:val="Bullet"/>
  </w:abstractNum>
  <w:abstractNum w:abstractNumId="6" w15:restartNumberingAfterBreak="0">
    <w:nsid w:val="156274DC"/>
    <w:multiLevelType w:val="hybridMultilevel"/>
    <w:tmpl w:val="38EE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D6E66"/>
    <w:multiLevelType w:val="hybridMultilevel"/>
    <w:tmpl w:val="0638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A5470"/>
    <w:multiLevelType w:val="hybridMultilevel"/>
    <w:tmpl w:val="440E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164C6"/>
    <w:multiLevelType w:val="hybridMultilevel"/>
    <w:tmpl w:val="D472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514EF"/>
    <w:multiLevelType w:val="hybridMultilevel"/>
    <w:tmpl w:val="7590B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91B79"/>
    <w:multiLevelType w:val="hybridMultilevel"/>
    <w:tmpl w:val="613E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C7AF1"/>
    <w:multiLevelType w:val="hybridMultilevel"/>
    <w:tmpl w:val="9ACE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35C99"/>
    <w:multiLevelType w:val="hybridMultilevel"/>
    <w:tmpl w:val="6CBA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E23ED"/>
    <w:multiLevelType w:val="hybridMultilevel"/>
    <w:tmpl w:val="CABC2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05345"/>
    <w:multiLevelType w:val="hybridMultilevel"/>
    <w:tmpl w:val="D9C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56499"/>
    <w:multiLevelType w:val="hybridMultilevel"/>
    <w:tmpl w:val="3204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A40DD"/>
    <w:multiLevelType w:val="hybridMultilevel"/>
    <w:tmpl w:val="81F4CE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34753"/>
    <w:multiLevelType w:val="hybridMultilevel"/>
    <w:tmpl w:val="E34EEBC2"/>
    <w:styleLink w:val="Bullet"/>
    <w:lvl w:ilvl="0" w:tplc="21B8020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364FB0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5E6ACA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5523F2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BE04C5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9982FC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01E65D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52278F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3563A1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5C8A71C8"/>
    <w:multiLevelType w:val="hybridMultilevel"/>
    <w:tmpl w:val="9E6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95C84"/>
    <w:multiLevelType w:val="hybridMultilevel"/>
    <w:tmpl w:val="175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87374"/>
    <w:multiLevelType w:val="hybridMultilevel"/>
    <w:tmpl w:val="D8B6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511AD"/>
    <w:multiLevelType w:val="hybridMultilevel"/>
    <w:tmpl w:val="8CBC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F1D6F"/>
    <w:multiLevelType w:val="hybridMultilevel"/>
    <w:tmpl w:val="D4B0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C611D"/>
    <w:multiLevelType w:val="hybridMultilevel"/>
    <w:tmpl w:val="9462F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E74BD"/>
    <w:multiLevelType w:val="hybridMultilevel"/>
    <w:tmpl w:val="99B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93137"/>
    <w:multiLevelType w:val="hybridMultilevel"/>
    <w:tmpl w:val="9428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97E0A"/>
    <w:multiLevelType w:val="hybridMultilevel"/>
    <w:tmpl w:val="2D7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318CF"/>
    <w:multiLevelType w:val="hybridMultilevel"/>
    <w:tmpl w:val="B696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44A90"/>
    <w:multiLevelType w:val="hybridMultilevel"/>
    <w:tmpl w:val="AA4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A4FFD"/>
    <w:multiLevelType w:val="hybridMultilevel"/>
    <w:tmpl w:val="DDE8A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36E04"/>
    <w:multiLevelType w:val="hybridMultilevel"/>
    <w:tmpl w:val="1744D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60BFE"/>
    <w:multiLevelType w:val="hybridMultilevel"/>
    <w:tmpl w:val="91A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578D7"/>
    <w:multiLevelType w:val="hybridMultilevel"/>
    <w:tmpl w:val="3FB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3"/>
  </w:num>
  <w:num w:numId="4">
    <w:abstractNumId w:val="4"/>
  </w:num>
  <w:num w:numId="5">
    <w:abstractNumId w:val="11"/>
  </w:num>
  <w:num w:numId="6">
    <w:abstractNumId w:val="24"/>
  </w:num>
  <w:num w:numId="7">
    <w:abstractNumId w:val="27"/>
  </w:num>
  <w:num w:numId="8">
    <w:abstractNumId w:val="18"/>
  </w:num>
  <w:num w:numId="9">
    <w:abstractNumId w:val="5"/>
  </w:num>
  <w:num w:numId="10">
    <w:abstractNumId w:val="19"/>
  </w:num>
  <w:num w:numId="11">
    <w:abstractNumId w:val="21"/>
  </w:num>
  <w:num w:numId="12">
    <w:abstractNumId w:val="15"/>
  </w:num>
  <w:num w:numId="13">
    <w:abstractNumId w:val="32"/>
  </w:num>
  <w:num w:numId="14">
    <w:abstractNumId w:val="17"/>
  </w:num>
  <w:num w:numId="15">
    <w:abstractNumId w:val="3"/>
  </w:num>
  <w:num w:numId="16">
    <w:abstractNumId w:val="25"/>
  </w:num>
  <w:num w:numId="17">
    <w:abstractNumId w:val="16"/>
  </w:num>
  <w:num w:numId="18">
    <w:abstractNumId w:val="6"/>
  </w:num>
  <w:num w:numId="19">
    <w:abstractNumId w:val="26"/>
  </w:num>
  <w:num w:numId="20">
    <w:abstractNumId w:val="0"/>
  </w:num>
  <w:num w:numId="21">
    <w:abstractNumId w:val="10"/>
  </w:num>
  <w:num w:numId="22">
    <w:abstractNumId w:val="33"/>
  </w:num>
  <w:num w:numId="23">
    <w:abstractNumId w:val="30"/>
  </w:num>
  <w:num w:numId="24">
    <w:abstractNumId w:val="28"/>
  </w:num>
  <w:num w:numId="25">
    <w:abstractNumId w:val="12"/>
  </w:num>
  <w:num w:numId="26">
    <w:abstractNumId w:val="7"/>
  </w:num>
  <w:num w:numId="27">
    <w:abstractNumId w:val="31"/>
  </w:num>
  <w:num w:numId="28">
    <w:abstractNumId w:val="29"/>
  </w:num>
  <w:num w:numId="29">
    <w:abstractNumId w:val="22"/>
  </w:num>
  <w:num w:numId="30">
    <w:abstractNumId w:val="23"/>
  </w:num>
  <w:num w:numId="31">
    <w:abstractNumId w:val="2"/>
  </w:num>
  <w:num w:numId="32">
    <w:abstractNumId w:val="14"/>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50"/>
    <w:rsid w:val="00005916"/>
    <w:rsid w:val="00024E04"/>
    <w:rsid w:val="00027B82"/>
    <w:rsid w:val="00034BAD"/>
    <w:rsid w:val="00040F1A"/>
    <w:rsid w:val="0004406E"/>
    <w:rsid w:val="00047336"/>
    <w:rsid w:val="00047B1B"/>
    <w:rsid w:val="00051152"/>
    <w:rsid w:val="0005680F"/>
    <w:rsid w:val="00056D1F"/>
    <w:rsid w:val="00065B67"/>
    <w:rsid w:val="000964DC"/>
    <w:rsid w:val="000A2189"/>
    <w:rsid w:val="000C208E"/>
    <w:rsid w:val="000D2347"/>
    <w:rsid w:val="00120161"/>
    <w:rsid w:val="0012367B"/>
    <w:rsid w:val="001256F7"/>
    <w:rsid w:val="00145C76"/>
    <w:rsid w:val="00151D4C"/>
    <w:rsid w:val="00154F35"/>
    <w:rsid w:val="0017518F"/>
    <w:rsid w:val="00187072"/>
    <w:rsid w:val="001955C1"/>
    <w:rsid w:val="00195C65"/>
    <w:rsid w:val="00196473"/>
    <w:rsid w:val="001A0F84"/>
    <w:rsid w:val="001A58D9"/>
    <w:rsid w:val="001F453B"/>
    <w:rsid w:val="00210505"/>
    <w:rsid w:val="00242799"/>
    <w:rsid w:val="00244D44"/>
    <w:rsid w:val="002512BB"/>
    <w:rsid w:val="002539DA"/>
    <w:rsid w:val="00254D74"/>
    <w:rsid w:val="00274552"/>
    <w:rsid w:val="0028046F"/>
    <w:rsid w:val="00304093"/>
    <w:rsid w:val="003070AF"/>
    <w:rsid w:val="00341423"/>
    <w:rsid w:val="00344F7C"/>
    <w:rsid w:val="0036685C"/>
    <w:rsid w:val="0037107A"/>
    <w:rsid w:val="00380ED7"/>
    <w:rsid w:val="00385830"/>
    <w:rsid w:val="003865CA"/>
    <w:rsid w:val="003A3EC9"/>
    <w:rsid w:val="003E6CCD"/>
    <w:rsid w:val="003F7E4E"/>
    <w:rsid w:val="00404DB3"/>
    <w:rsid w:val="00412458"/>
    <w:rsid w:val="00426DCD"/>
    <w:rsid w:val="004516F0"/>
    <w:rsid w:val="00456220"/>
    <w:rsid w:val="004565DE"/>
    <w:rsid w:val="00457242"/>
    <w:rsid w:val="00460A4A"/>
    <w:rsid w:val="00474C7D"/>
    <w:rsid w:val="004800C7"/>
    <w:rsid w:val="004914B0"/>
    <w:rsid w:val="004A6AE2"/>
    <w:rsid w:val="004B44BD"/>
    <w:rsid w:val="004D368B"/>
    <w:rsid w:val="00503780"/>
    <w:rsid w:val="0050534E"/>
    <w:rsid w:val="00505995"/>
    <w:rsid w:val="00516DD8"/>
    <w:rsid w:val="00522682"/>
    <w:rsid w:val="005347EF"/>
    <w:rsid w:val="00540B1F"/>
    <w:rsid w:val="005440B2"/>
    <w:rsid w:val="005576D5"/>
    <w:rsid w:val="00581D12"/>
    <w:rsid w:val="00584C9A"/>
    <w:rsid w:val="005A2F5B"/>
    <w:rsid w:val="005B33D2"/>
    <w:rsid w:val="005B54D6"/>
    <w:rsid w:val="005B69BF"/>
    <w:rsid w:val="005B748B"/>
    <w:rsid w:val="005C0FF4"/>
    <w:rsid w:val="005E17C9"/>
    <w:rsid w:val="005E4949"/>
    <w:rsid w:val="00600171"/>
    <w:rsid w:val="00606798"/>
    <w:rsid w:val="00622847"/>
    <w:rsid w:val="0063520B"/>
    <w:rsid w:val="0066583D"/>
    <w:rsid w:val="00693580"/>
    <w:rsid w:val="006A5E0C"/>
    <w:rsid w:val="006D1F00"/>
    <w:rsid w:val="006D5356"/>
    <w:rsid w:val="00712704"/>
    <w:rsid w:val="007161FD"/>
    <w:rsid w:val="0073536E"/>
    <w:rsid w:val="00737738"/>
    <w:rsid w:val="00755D9F"/>
    <w:rsid w:val="00762A18"/>
    <w:rsid w:val="0076406F"/>
    <w:rsid w:val="00782C95"/>
    <w:rsid w:val="00792923"/>
    <w:rsid w:val="007A674D"/>
    <w:rsid w:val="007B27F6"/>
    <w:rsid w:val="007D75F1"/>
    <w:rsid w:val="007F0C08"/>
    <w:rsid w:val="007F24A0"/>
    <w:rsid w:val="0080222E"/>
    <w:rsid w:val="00812CC6"/>
    <w:rsid w:val="00833502"/>
    <w:rsid w:val="00853B50"/>
    <w:rsid w:val="00873D15"/>
    <w:rsid w:val="00880E09"/>
    <w:rsid w:val="00880F09"/>
    <w:rsid w:val="0088758A"/>
    <w:rsid w:val="008A07AB"/>
    <w:rsid w:val="008B68D4"/>
    <w:rsid w:val="008C4270"/>
    <w:rsid w:val="008D6AB1"/>
    <w:rsid w:val="008E67D6"/>
    <w:rsid w:val="008F4FE7"/>
    <w:rsid w:val="008F76A7"/>
    <w:rsid w:val="00900E39"/>
    <w:rsid w:val="00912BAC"/>
    <w:rsid w:val="00920907"/>
    <w:rsid w:val="00923805"/>
    <w:rsid w:val="00954DB2"/>
    <w:rsid w:val="0096096D"/>
    <w:rsid w:val="0096656A"/>
    <w:rsid w:val="00986FBB"/>
    <w:rsid w:val="009A2BD7"/>
    <w:rsid w:val="009B4E31"/>
    <w:rsid w:val="009C2BD9"/>
    <w:rsid w:val="009D0FD7"/>
    <w:rsid w:val="009E1CC4"/>
    <w:rsid w:val="009E57BB"/>
    <w:rsid w:val="00A044DD"/>
    <w:rsid w:val="00A04CEC"/>
    <w:rsid w:val="00A05F2A"/>
    <w:rsid w:val="00A10A6F"/>
    <w:rsid w:val="00A136CF"/>
    <w:rsid w:val="00A151FD"/>
    <w:rsid w:val="00A46990"/>
    <w:rsid w:val="00A51EF6"/>
    <w:rsid w:val="00A57F98"/>
    <w:rsid w:val="00A601DA"/>
    <w:rsid w:val="00A717FC"/>
    <w:rsid w:val="00A72685"/>
    <w:rsid w:val="00A83FDB"/>
    <w:rsid w:val="00AA6225"/>
    <w:rsid w:val="00AB3E59"/>
    <w:rsid w:val="00AB54F5"/>
    <w:rsid w:val="00AB7578"/>
    <w:rsid w:val="00AB77FD"/>
    <w:rsid w:val="00AC4720"/>
    <w:rsid w:val="00AD513C"/>
    <w:rsid w:val="00AE0720"/>
    <w:rsid w:val="00AE3747"/>
    <w:rsid w:val="00AE6037"/>
    <w:rsid w:val="00B07F44"/>
    <w:rsid w:val="00B17EE3"/>
    <w:rsid w:val="00B231D0"/>
    <w:rsid w:val="00B247FA"/>
    <w:rsid w:val="00B30D35"/>
    <w:rsid w:val="00B36A58"/>
    <w:rsid w:val="00B42649"/>
    <w:rsid w:val="00B66B9B"/>
    <w:rsid w:val="00B731D5"/>
    <w:rsid w:val="00B81E1D"/>
    <w:rsid w:val="00B835AA"/>
    <w:rsid w:val="00BF5843"/>
    <w:rsid w:val="00BF603C"/>
    <w:rsid w:val="00BF6F18"/>
    <w:rsid w:val="00BF7067"/>
    <w:rsid w:val="00C02792"/>
    <w:rsid w:val="00C26844"/>
    <w:rsid w:val="00C515B4"/>
    <w:rsid w:val="00C66A10"/>
    <w:rsid w:val="00C86D4E"/>
    <w:rsid w:val="00C910DA"/>
    <w:rsid w:val="00CA6B10"/>
    <w:rsid w:val="00CD00C0"/>
    <w:rsid w:val="00CD2A45"/>
    <w:rsid w:val="00CE5FAB"/>
    <w:rsid w:val="00CF1F89"/>
    <w:rsid w:val="00D10E97"/>
    <w:rsid w:val="00D179B0"/>
    <w:rsid w:val="00D266F5"/>
    <w:rsid w:val="00D337DB"/>
    <w:rsid w:val="00D44CC0"/>
    <w:rsid w:val="00D45DBA"/>
    <w:rsid w:val="00D71DBE"/>
    <w:rsid w:val="00D721F8"/>
    <w:rsid w:val="00D72A2D"/>
    <w:rsid w:val="00DA04C9"/>
    <w:rsid w:val="00DA3588"/>
    <w:rsid w:val="00DB1E89"/>
    <w:rsid w:val="00DC29AA"/>
    <w:rsid w:val="00DC3F75"/>
    <w:rsid w:val="00DC4ADE"/>
    <w:rsid w:val="00DC5151"/>
    <w:rsid w:val="00DF7ED3"/>
    <w:rsid w:val="00E07809"/>
    <w:rsid w:val="00E10098"/>
    <w:rsid w:val="00E2058B"/>
    <w:rsid w:val="00E238D6"/>
    <w:rsid w:val="00E272CF"/>
    <w:rsid w:val="00E35367"/>
    <w:rsid w:val="00E41008"/>
    <w:rsid w:val="00E619E9"/>
    <w:rsid w:val="00E66F45"/>
    <w:rsid w:val="00E861BD"/>
    <w:rsid w:val="00E94103"/>
    <w:rsid w:val="00EA1A85"/>
    <w:rsid w:val="00EA273D"/>
    <w:rsid w:val="00EB4D92"/>
    <w:rsid w:val="00EB56C5"/>
    <w:rsid w:val="00EC5027"/>
    <w:rsid w:val="00ED1BCA"/>
    <w:rsid w:val="00EF7919"/>
    <w:rsid w:val="00F0773B"/>
    <w:rsid w:val="00F07E1D"/>
    <w:rsid w:val="00F22697"/>
    <w:rsid w:val="00F23129"/>
    <w:rsid w:val="00F53C7E"/>
    <w:rsid w:val="00F5733C"/>
    <w:rsid w:val="00F73E84"/>
    <w:rsid w:val="00F83200"/>
    <w:rsid w:val="00F837AF"/>
    <w:rsid w:val="00F93006"/>
    <w:rsid w:val="00F950BF"/>
    <w:rsid w:val="00F950DE"/>
    <w:rsid w:val="00F97A5F"/>
    <w:rsid w:val="00FA196C"/>
    <w:rsid w:val="00FA5692"/>
    <w:rsid w:val="00FC4BEA"/>
    <w:rsid w:val="00FC6A85"/>
    <w:rsid w:val="00FD03D0"/>
    <w:rsid w:val="00FE75D0"/>
    <w:rsid w:val="00FE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5A1EF"/>
  <w15:chartTrackingRefBased/>
  <w15:docId w15:val="{B28E26AF-012D-400F-98D4-513A0B91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B3"/>
    <w:rPr>
      <w:rFonts w:ascii="Palatino Linotype" w:hAnsi="Palatino Linotype"/>
    </w:rPr>
  </w:style>
  <w:style w:type="paragraph" w:styleId="Heading1">
    <w:name w:val="heading 1"/>
    <w:basedOn w:val="Normal"/>
    <w:next w:val="Normal"/>
    <w:link w:val="Heading1Char"/>
    <w:qFormat/>
    <w:rsid w:val="00D179B0"/>
    <w:pPr>
      <w:keepNext/>
      <w:keepLines/>
      <w:spacing w:before="240"/>
      <w:outlineLvl w:val="0"/>
    </w:pPr>
    <w:rPr>
      <w:rFonts w:eastAsiaTheme="majorEastAsia" w:cstheme="majorBidi"/>
      <w:b/>
      <w:caps/>
      <w:color w:val="000000" w:themeColor="text1"/>
      <w:sz w:val="24"/>
      <w:szCs w:val="32"/>
    </w:rPr>
  </w:style>
  <w:style w:type="paragraph" w:styleId="Heading2">
    <w:name w:val="heading 2"/>
    <w:basedOn w:val="Normal"/>
    <w:next w:val="Normal"/>
    <w:link w:val="Heading2Char"/>
    <w:uiPriority w:val="9"/>
    <w:unhideWhenUsed/>
    <w:qFormat/>
    <w:rsid w:val="0066583D"/>
    <w:pPr>
      <w:keepNext/>
      <w:keepLines/>
      <w:spacing w:before="120" w:after="1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7FC"/>
    <w:rPr>
      <w:rFonts w:ascii="Segoe UI" w:hAnsi="Segoe UI" w:cs="Segoe UI"/>
      <w:sz w:val="18"/>
      <w:szCs w:val="18"/>
    </w:rPr>
  </w:style>
  <w:style w:type="paragraph" w:styleId="ListParagraph">
    <w:name w:val="List Paragraph"/>
    <w:basedOn w:val="Normal"/>
    <w:uiPriority w:val="34"/>
    <w:qFormat/>
    <w:rsid w:val="002539DA"/>
    <w:pPr>
      <w:ind w:left="720"/>
      <w:contextualSpacing/>
    </w:pPr>
  </w:style>
  <w:style w:type="character" w:customStyle="1" w:styleId="Heading1Char">
    <w:name w:val="Heading 1 Char"/>
    <w:basedOn w:val="DefaultParagraphFont"/>
    <w:link w:val="Heading1"/>
    <w:rsid w:val="00D179B0"/>
    <w:rPr>
      <w:rFonts w:ascii="Palatino Linotype" w:eastAsiaTheme="majorEastAsia" w:hAnsi="Palatino Linotype" w:cstheme="majorBidi"/>
      <w:b/>
      <w:caps/>
      <w:color w:val="000000" w:themeColor="text1"/>
      <w:sz w:val="24"/>
      <w:szCs w:val="32"/>
    </w:rPr>
  </w:style>
  <w:style w:type="table" w:styleId="TableGrid">
    <w:name w:val="Table Grid"/>
    <w:basedOn w:val="TableNormal"/>
    <w:rsid w:val="00D179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3D2"/>
    <w:pPr>
      <w:tabs>
        <w:tab w:val="center" w:pos="4680"/>
        <w:tab w:val="right" w:pos="9360"/>
      </w:tabs>
    </w:pPr>
  </w:style>
  <w:style w:type="character" w:customStyle="1" w:styleId="HeaderChar">
    <w:name w:val="Header Char"/>
    <w:basedOn w:val="DefaultParagraphFont"/>
    <w:link w:val="Header"/>
    <w:uiPriority w:val="99"/>
    <w:rsid w:val="005B33D2"/>
    <w:rPr>
      <w:rFonts w:ascii="Palatino Linotype" w:hAnsi="Palatino Linotype"/>
    </w:rPr>
  </w:style>
  <w:style w:type="paragraph" w:styleId="Footer">
    <w:name w:val="footer"/>
    <w:basedOn w:val="Normal"/>
    <w:link w:val="FooterChar"/>
    <w:uiPriority w:val="99"/>
    <w:unhideWhenUsed/>
    <w:rsid w:val="005B33D2"/>
    <w:pPr>
      <w:tabs>
        <w:tab w:val="center" w:pos="4680"/>
        <w:tab w:val="right" w:pos="9360"/>
      </w:tabs>
    </w:pPr>
  </w:style>
  <w:style w:type="character" w:customStyle="1" w:styleId="FooterChar">
    <w:name w:val="Footer Char"/>
    <w:basedOn w:val="DefaultParagraphFont"/>
    <w:link w:val="Footer"/>
    <w:uiPriority w:val="99"/>
    <w:rsid w:val="005B33D2"/>
    <w:rPr>
      <w:rFonts w:ascii="Palatino Linotype" w:hAnsi="Palatino Linotype"/>
    </w:rPr>
  </w:style>
  <w:style w:type="paragraph" w:customStyle="1" w:styleId="Default">
    <w:name w:val="Default"/>
    <w:rsid w:val="00CF1F89"/>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Bullet">
    <w:name w:val="Bullet"/>
    <w:rsid w:val="00CF1F89"/>
    <w:pPr>
      <w:numPr>
        <w:numId w:val="8"/>
      </w:numPr>
    </w:pPr>
  </w:style>
  <w:style w:type="character" w:styleId="Hyperlink">
    <w:name w:val="Hyperlink"/>
    <w:basedOn w:val="DefaultParagraphFont"/>
    <w:uiPriority w:val="99"/>
    <w:unhideWhenUsed/>
    <w:rsid w:val="007D75F1"/>
    <w:rPr>
      <w:color w:val="0563C1" w:themeColor="hyperlink"/>
      <w:u w:val="single"/>
    </w:rPr>
  </w:style>
  <w:style w:type="character" w:customStyle="1" w:styleId="Heading2Char">
    <w:name w:val="Heading 2 Char"/>
    <w:basedOn w:val="DefaultParagraphFont"/>
    <w:link w:val="Heading2"/>
    <w:uiPriority w:val="9"/>
    <w:rsid w:val="0066583D"/>
    <w:rPr>
      <w:rFonts w:ascii="Palatino Linotype" w:eastAsiaTheme="majorEastAsia" w:hAnsi="Palatino Linotype"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4474">
      <w:bodyDiv w:val="1"/>
      <w:marLeft w:val="0"/>
      <w:marRight w:val="0"/>
      <w:marTop w:val="0"/>
      <w:marBottom w:val="0"/>
      <w:divBdr>
        <w:top w:val="none" w:sz="0" w:space="0" w:color="auto"/>
        <w:left w:val="none" w:sz="0" w:space="0" w:color="auto"/>
        <w:bottom w:val="none" w:sz="0" w:space="0" w:color="auto"/>
        <w:right w:val="none" w:sz="0" w:space="0" w:color="auto"/>
      </w:divBdr>
    </w:div>
    <w:div w:id="1046376147">
      <w:bodyDiv w:val="1"/>
      <w:marLeft w:val="0"/>
      <w:marRight w:val="0"/>
      <w:marTop w:val="0"/>
      <w:marBottom w:val="0"/>
      <w:divBdr>
        <w:top w:val="none" w:sz="0" w:space="0" w:color="auto"/>
        <w:left w:val="none" w:sz="0" w:space="0" w:color="auto"/>
        <w:bottom w:val="none" w:sz="0" w:space="0" w:color="auto"/>
        <w:right w:val="none" w:sz="0" w:space="0" w:color="auto"/>
      </w:divBdr>
    </w:div>
    <w:div w:id="18051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E528-57AE-4ABC-93AD-21317247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togogt@charter.net</dc:creator>
  <cp:keywords/>
  <dc:description/>
  <cp:lastModifiedBy>GCOLA Secretary-Treasurer</cp:lastModifiedBy>
  <cp:revision>4</cp:revision>
  <cp:lastPrinted>2020-06-10T23:28:00Z</cp:lastPrinted>
  <dcterms:created xsi:type="dcterms:W3CDTF">2020-10-06T22:43:00Z</dcterms:created>
  <dcterms:modified xsi:type="dcterms:W3CDTF">2020-10-06T23:36:00Z</dcterms:modified>
</cp:coreProperties>
</file>